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7A7331" w:rsidTr="00D40E2D">
        <w:trPr>
          <w:trHeight w:val="1134"/>
        </w:trPr>
        <w:tc>
          <w:tcPr>
            <w:tcW w:w="8644" w:type="dxa"/>
          </w:tcPr>
          <w:p w:rsidR="00675338" w:rsidRPr="007A7331" w:rsidRDefault="007A7331" w:rsidP="00F345BD">
            <w:bookmarkStart w:id="0" w:name="Addressee"/>
            <w:bookmarkStart w:id="1" w:name="_GoBack"/>
            <w:bookmarkEnd w:id="1"/>
            <w:r w:rsidRPr="007A7331">
              <w:t>Överförmyndarenheten</w:t>
            </w:r>
            <w:bookmarkEnd w:id="0"/>
          </w:p>
        </w:tc>
      </w:tr>
    </w:tbl>
    <w:p w:rsidR="001A6211" w:rsidRDefault="007A7331" w:rsidP="00BB39F6">
      <w:pPr>
        <w:pStyle w:val="Rubrik1"/>
      </w:pPr>
      <w:bookmarkStart w:id="2" w:name="Subject"/>
      <w:r>
        <w:t>Rutiner för utlämnande av allmän han</w:t>
      </w:r>
      <w:r w:rsidRPr="007A7331">
        <w:t>d</w:t>
      </w:r>
      <w:r>
        <w:t>l</w:t>
      </w:r>
      <w:r w:rsidRPr="007A7331">
        <w:t>ing</w:t>
      </w:r>
      <w:bookmarkEnd w:id="2"/>
      <w:r>
        <w:t xml:space="preserve"> med sekretess</w:t>
      </w:r>
    </w:p>
    <w:p w:rsidR="00F86B89" w:rsidRDefault="00F86B89" w:rsidP="00F86B89"/>
    <w:p w:rsidR="00F86B89" w:rsidRDefault="00F86B89" w:rsidP="00F86B89">
      <w:r>
        <w:t>Begäran om att utfå en handling/uppgift ska handläggas skyndsamt = påbörja samma dag som begäran kommer om möjligt.</w:t>
      </w:r>
    </w:p>
    <w:p w:rsidR="00F86B89" w:rsidRPr="00F86B89" w:rsidRDefault="00F86B89" w:rsidP="0049421A">
      <w:pPr>
        <w:jc w:val="center"/>
      </w:pPr>
    </w:p>
    <w:p w:rsidR="00F86B89" w:rsidRPr="00F86B89" w:rsidRDefault="00F86B89" w:rsidP="00F86B89">
      <w:pPr>
        <w:pStyle w:val="Rubrik2"/>
      </w:pPr>
      <w:r>
        <w:t>Följande personer har rätt att få del av handlingar ur en personakt</w:t>
      </w:r>
    </w:p>
    <w:p w:rsidR="007A7331" w:rsidRPr="00E13594" w:rsidRDefault="007A7331" w:rsidP="00F86B89">
      <w:pPr>
        <w:pStyle w:val="Rubrik3"/>
      </w:pPr>
      <w:bookmarkStart w:id="3" w:name="Start"/>
      <w:bookmarkEnd w:id="3"/>
      <w:r w:rsidRPr="00E13594">
        <w:t xml:space="preserve">Föräldrabalken 16 kap. 7 § </w:t>
      </w:r>
    </w:p>
    <w:p w:rsidR="007A7331" w:rsidRPr="00E13594" w:rsidRDefault="007A7331" w:rsidP="007A7331">
      <w:pPr>
        <w:tabs>
          <w:tab w:val="left" w:pos="4253"/>
        </w:tabs>
      </w:pPr>
      <w:r w:rsidRPr="00E13594">
        <w:t>En omyndig som har fyllt sexton år och den som har god man eller förvaltare har rätt att ta del av de handlingar som rör ställföreträdarskapet och som förvaras hos överförmyndaren. En sådan rätt har också den enskildes make eller sambo och närmaste släktingar</w:t>
      </w:r>
      <w:r>
        <w:t>*</w:t>
      </w:r>
      <w:r w:rsidRPr="00E13594">
        <w:t>.</w:t>
      </w:r>
    </w:p>
    <w:p w:rsidR="007A7331" w:rsidRDefault="007A7331" w:rsidP="007A7331">
      <w:pPr>
        <w:tabs>
          <w:tab w:val="left" w:pos="4253"/>
        </w:tabs>
      </w:pPr>
    </w:p>
    <w:p w:rsidR="007A7331" w:rsidRDefault="007A7331" w:rsidP="007A7331">
      <w:pPr>
        <w:tabs>
          <w:tab w:val="left" w:pos="4253"/>
        </w:tabs>
      </w:pPr>
      <w:r>
        <w:t>En enskilds make eller sambo eller närmaste släktingar</w:t>
      </w:r>
      <w:r w:rsidR="000B0F93">
        <w:t>s</w:t>
      </w:r>
      <w:r>
        <w:t xml:space="preserve"> möjlighet till insyn anses vara av stor vikt för nära anhörigas möjligheter att följa skötseln av den enskildes intressen (prop. 1993/94:251 s. 174).</w:t>
      </w:r>
    </w:p>
    <w:p w:rsidR="007A7331" w:rsidRDefault="007A7331" w:rsidP="007A7331">
      <w:pPr>
        <w:tabs>
          <w:tab w:val="left" w:pos="4253"/>
        </w:tabs>
      </w:pPr>
    </w:p>
    <w:p w:rsidR="00D40E2D" w:rsidRDefault="002B00CC" w:rsidP="007A7331">
      <w:pPr>
        <w:tabs>
          <w:tab w:val="left" w:pos="4253"/>
        </w:tabs>
      </w:pPr>
      <w:r>
        <w:t>*  ”</w:t>
      </w:r>
      <w:r w:rsidR="007A7331">
        <w:t xml:space="preserve">närmaste släktingar” -  jmf 11 kap 15 § FB </w:t>
      </w:r>
      <w:r w:rsidR="00D40E2D">
        <w:t xml:space="preserve">vilka som har rätt att ansöka om god man </w:t>
      </w:r>
      <w:r w:rsidR="007A7331">
        <w:t>och</w:t>
      </w:r>
      <w:r w:rsidR="00D40E2D">
        <w:t xml:space="preserve"> i</w:t>
      </w:r>
      <w:r w:rsidR="007A7331">
        <w:t xml:space="preserve"> förarbetena </w:t>
      </w:r>
      <w:r w:rsidR="00D40E2D">
        <w:t>nämns som</w:t>
      </w:r>
      <w:r w:rsidR="007A7331">
        <w:t xml:space="preserve"> närmaste släktingar bröstarvingar, föräldrar och syskon (prop. 1987/88:124 s. 175)</w:t>
      </w:r>
      <w:r w:rsidR="00D40E2D">
        <w:t xml:space="preserve">.  Enligt HFD mål nr </w:t>
      </w:r>
      <w:proofErr w:type="gramStart"/>
      <w:r w:rsidR="00D40E2D">
        <w:t>4334-13</w:t>
      </w:r>
      <w:proofErr w:type="gramEnd"/>
      <w:r w:rsidR="00D40E2D">
        <w:t xml:space="preserve"> uppger domstolen att frågan om vem som kan anses höra till en persons närmaste släktingar måste avgöras med hänsyn till förhållandena i det enskilda fallet. Här var ett syskonbarn att hänföra till denna krets. </w:t>
      </w:r>
    </w:p>
    <w:p w:rsidR="00D40E2D" w:rsidRDefault="00D40E2D" w:rsidP="007A7331">
      <w:pPr>
        <w:tabs>
          <w:tab w:val="left" w:pos="4253"/>
        </w:tabs>
      </w:pPr>
    </w:p>
    <w:p w:rsidR="00565FFB" w:rsidRPr="00565FFB" w:rsidRDefault="00565FFB" w:rsidP="007A7331">
      <w:pPr>
        <w:tabs>
          <w:tab w:val="left" w:pos="4253"/>
        </w:tabs>
        <w:rPr>
          <w:i/>
        </w:rPr>
      </w:pPr>
      <w:r w:rsidRPr="00565FFB">
        <w:rPr>
          <w:i/>
        </w:rPr>
        <w:t>När man ska lämna ut en handling med stöd av föräldrabalken 16 kap. 7 § måste man säkerställa att personen är den som den utger sig för att vara. Det kan göras på olika sätt beroende på hur handlingen lämnas ut. Man kan skicka till folkbokföringsadress eller kontrollera ID-handling vid besök.</w:t>
      </w:r>
    </w:p>
    <w:p w:rsidR="00565FFB" w:rsidRPr="00565FFB" w:rsidRDefault="00565FFB" w:rsidP="007A7331">
      <w:pPr>
        <w:tabs>
          <w:tab w:val="left" w:pos="4253"/>
        </w:tabs>
        <w:rPr>
          <w:i/>
        </w:rPr>
      </w:pPr>
    </w:p>
    <w:p w:rsidR="00565FFB" w:rsidRPr="00565FFB" w:rsidRDefault="00565FFB" w:rsidP="007A7331">
      <w:pPr>
        <w:tabs>
          <w:tab w:val="left" w:pos="4253"/>
        </w:tabs>
        <w:rPr>
          <w:i/>
        </w:rPr>
      </w:pPr>
      <w:r w:rsidRPr="00565FFB">
        <w:rPr>
          <w:i/>
        </w:rPr>
        <w:t xml:space="preserve">Vi ska undvika att maila ut information då den lätt kan bli tillgänglig för någon obehörig. </w:t>
      </w:r>
    </w:p>
    <w:p w:rsidR="00565FFB" w:rsidRDefault="00565FFB" w:rsidP="007A7331">
      <w:pPr>
        <w:tabs>
          <w:tab w:val="left" w:pos="4253"/>
        </w:tabs>
      </w:pPr>
    </w:p>
    <w:p w:rsidR="007A7331" w:rsidRPr="00E13594" w:rsidRDefault="00565FFB" w:rsidP="007A7331">
      <w:pPr>
        <w:tabs>
          <w:tab w:val="left" w:pos="4253"/>
        </w:tabs>
      </w:pPr>
      <w:r>
        <w:t>Viktigt att komma ihåg att det</w:t>
      </w:r>
      <w:r w:rsidR="00D40E2D">
        <w:t xml:space="preserve"> råder presumtion för sekretess </w:t>
      </w:r>
      <w:r>
        <w:t>därför</w:t>
      </w:r>
      <w:r w:rsidR="00D40E2D">
        <w:t xml:space="preserve"> har </w:t>
      </w:r>
      <w:r>
        <w:t xml:space="preserve">man </w:t>
      </w:r>
      <w:r w:rsidR="00D40E2D">
        <w:t>generellt en restriktiv tolkning. Om man är osäker bör man inte lämna ut någon handling.</w:t>
      </w:r>
    </w:p>
    <w:p w:rsidR="007A7331" w:rsidRPr="00E13594" w:rsidRDefault="007A7331" w:rsidP="007A7331">
      <w:pPr>
        <w:tabs>
          <w:tab w:val="left" w:pos="4253"/>
        </w:tabs>
      </w:pPr>
    </w:p>
    <w:p w:rsidR="007A7331" w:rsidRPr="00E13594" w:rsidRDefault="007A7331" w:rsidP="00D40E2D">
      <w:pPr>
        <w:pStyle w:val="Rubrik2"/>
      </w:pPr>
      <w:r w:rsidRPr="00E13594">
        <w:lastRenderedPageBreak/>
        <w:t xml:space="preserve">Offentlighets- och sekretesslagen 32 kap. </w:t>
      </w:r>
      <w:proofErr w:type="gramStart"/>
      <w:r w:rsidRPr="00E13594">
        <w:t>4-5</w:t>
      </w:r>
      <w:proofErr w:type="gramEnd"/>
      <w:r w:rsidRPr="00E13594">
        <w:t xml:space="preserve"> §§</w:t>
      </w:r>
    </w:p>
    <w:p w:rsidR="007A7331" w:rsidRPr="00E13594" w:rsidRDefault="007A7331" w:rsidP="007A7331">
      <w:pPr>
        <w:tabs>
          <w:tab w:val="left" w:pos="4253"/>
        </w:tabs>
      </w:pPr>
      <w:r w:rsidRPr="00E13594">
        <w:t xml:space="preserve">Sekretess gäller hos överförmyndare eller överförmyndarnämnd i ärende enligt föräldrabalken för uppgift om enskilds personliga eller ekonomiska förhållanden, om det inte står klart att uppgiften kan röjas utan att den enskilde lider skada eller men. Med enskild avses både huvudman och god man. Utan hinder av sekretessen får uppgift lämnas till enskild enligt vad som föreskrivs i föräldrabalken. </w:t>
      </w:r>
    </w:p>
    <w:p w:rsidR="004D3061" w:rsidRPr="007A7331" w:rsidRDefault="004D3061" w:rsidP="00F345BD"/>
    <w:p w:rsidR="00533385" w:rsidRDefault="00D40E2D" w:rsidP="00F345BD">
      <w:r>
        <w:t>Sekretessen gäller för både huvudmannen och gode mannen.</w:t>
      </w:r>
    </w:p>
    <w:p w:rsidR="00D40E2D" w:rsidRDefault="00D40E2D" w:rsidP="00F345BD"/>
    <w:p w:rsidR="00D40E2D" w:rsidRDefault="00D40E2D" w:rsidP="00F345BD">
      <w:r>
        <w:t>Gode mannen har rätt att få del av de handlingar som han/hon kan behöva för att utöva sitt uppdrag. Man måste därför fråga gode mannen (om det inte står klart) vad han/hon ska ha handlingen till för att kunna göra en bedömning av om handlingen ska utlämnas eller ej.</w:t>
      </w:r>
    </w:p>
    <w:p w:rsidR="00D40E2D" w:rsidRPr="007A7331" w:rsidRDefault="00D40E2D" w:rsidP="00F345BD"/>
    <w:p w:rsidR="007A3CBB" w:rsidRPr="007A7331" w:rsidRDefault="00D40E2D" w:rsidP="00D40E2D">
      <w:pPr>
        <w:pStyle w:val="Rubrik2"/>
      </w:pPr>
      <w:r>
        <w:t>Utomstående som frågar efter uppgifter/allmänna handlingar</w:t>
      </w:r>
      <w:r w:rsidR="002B00CC">
        <w:t xml:space="preserve"> med sekretess</w:t>
      </w:r>
    </w:p>
    <w:p w:rsidR="007A3CBB" w:rsidRDefault="007A3CBB" w:rsidP="00D40E2D"/>
    <w:p w:rsidR="00D40E2D" w:rsidRDefault="00F86B89" w:rsidP="00F86B89">
      <w:pPr>
        <w:pStyle w:val="Liststycke"/>
        <w:numPr>
          <w:ilvl w:val="0"/>
          <w:numId w:val="3"/>
        </w:numPr>
      </w:pPr>
      <w:r>
        <w:t>En sekretessbedömning måste göras. Därför måste man alltid fråga efter vad personen har för syfte med att få ut en handling.</w:t>
      </w:r>
    </w:p>
    <w:p w:rsidR="00F86B89" w:rsidRDefault="00F86B89" w:rsidP="00F86B89">
      <w:pPr>
        <w:pStyle w:val="Liststycke"/>
      </w:pPr>
    </w:p>
    <w:p w:rsidR="00F86B89" w:rsidRDefault="00F86B89" w:rsidP="00F86B89">
      <w:pPr>
        <w:pStyle w:val="Liststycke"/>
        <w:numPr>
          <w:ilvl w:val="0"/>
          <w:numId w:val="3"/>
        </w:numPr>
      </w:pPr>
      <w:r>
        <w:t>Om det inte står klart om en enskild kommer att lida skada eller men ska en handling/uppgift inte lämnas ut.</w:t>
      </w:r>
    </w:p>
    <w:p w:rsidR="00F86B89" w:rsidRDefault="00F86B89" w:rsidP="00F86B89">
      <w:pPr>
        <w:pStyle w:val="Liststycke"/>
      </w:pPr>
    </w:p>
    <w:p w:rsidR="00F86B89" w:rsidRDefault="00F86B89" w:rsidP="00F86B89">
      <w:pPr>
        <w:pStyle w:val="Liststycke"/>
        <w:numPr>
          <w:ilvl w:val="0"/>
          <w:numId w:val="3"/>
        </w:numPr>
      </w:pPr>
      <w:r>
        <w:t>Information till den som begär ut handlingen om att den inte lämnas ut och att denne har rätt att få ett avslagsbeslut om han/hon begär det.</w:t>
      </w:r>
    </w:p>
    <w:p w:rsidR="00F86B89" w:rsidRDefault="00F86B89" w:rsidP="00F86B89">
      <w:pPr>
        <w:pStyle w:val="Liststycke"/>
      </w:pPr>
    </w:p>
    <w:p w:rsidR="00F86B89" w:rsidRDefault="006C734D" w:rsidP="00F86B89">
      <w:pPr>
        <w:pStyle w:val="Liststycke"/>
        <w:numPr>
          <w:ilvl w:val="0"/>
          <w:numId w:val="3"/>
        </w:numPr>
      </w:pPr>
      <w:r>
        <w:t>Enhetschefen</w:t>
      </w:r>
      <w:r w:rsidR="00F86B89">
        <w:t xml:space="preserve"> är den som fattar beslut om att en handling inte lämnas ut. Om </w:t>
      </w:r>
      <w:r>
        <w:t xml:space="preserve">enhetschefen inte finns på plats är det </w:t>
      </w:r>
      <w:proofErr w:type="spellStart"/>
      <w:r>
        <w:t>tf</w:t>
      </w:r>
      <w:proofErr w:type="spellEnd"/>
      <w:r>
        <w:t xml:space="preserve"> enhetschef </w:t>
      </w:r>
      <w:r w:rsidR="002B00CC">
        <w:t>som får fatta beslutet.</w:t>
      </w:r>
    </w:p>
    <w:p w:rsidR="006E1866" w:rsidRDefault="006E1866" w:rsidP="006E1866">
      <w:pPr>
        <w:pStyle w:val="Liststycke"/>
      </w:pPr>
    </w:p>
    <w:p w:rsidR="007A3CBB" w:rsidRPr="007A7331" w:rsidRDefault="007A3CBB" w:rsidP="00F345BD"/>
    <w:p w:rsidR="007A3CBB" w:rsidRPr="007A7331" w:rsidRDefault="007A3CBB" w:rsidP="00F345BD"/>
    <w:p w:rsidR="00640BBD" w:rsidRPr="007A7331" w:rsidRDefault="00640BBD" w:rsidP="00F345BD"/>
    <w:p w:rsidR="00843F47" w:rsidRPr="007A7331" w:rsidRDefault="00843F47" w:rsidP="00650214">
      <w:bookmarkStart w:id="4" w:name="_TempPage"/>
      <w:bookmarkEnd w:id="4"/>
    </w:p>
    <w:sectPr w:rsidR="00843F47" w:rsidRPr="007A7331"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31" w:rsidRDefault="007A7331">
      <w:r>
        <w:separator/>
      </w:r>
    </w:p>
  </w:endnote>
  <w:endnote w:type="continuationSeparator" w:id="0">
    <w:p w:rsidR="007A7331" w:rsidRDefault="007A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7" w:name="Verksamhet"/>
    <w:bookmarkEnd w:id="7"/>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7A7331" w:rsidP="00A77D51">
          <w:pPr>
            <w:pStyle w:val="Sidfot"/>
            <w:rPr>
              <w:caps/>
              <w:sz w:val="9"/>
              <w:szCs w:val="9"/>
            </w:rPr>
          </w:pPr>
          <w:bookmarkStart w:id="8" w:name="LPostalAddr"/>
          <w:r>
            <w:rPr>
              <w:caps/>
              <w:sz w:val="9"/>
              <w:szCs w:val="9"/>
            </w:rPr>
            <w:t>Postadress</w:t>
          </w:r>
          <w:bookmarkEnd w:id="8"/>
        </w:p>
      </w:tc>
      <w:tc>
        <w:tcPr>
          <w:tcW w:w="1958" w:type="dxa"/>
          <w:tcBorders>
            <w:top w:val="single" w:sz="4" w:space="0" w:color="auto"/>
          </w:tcBorders>
        </w:tcPr>
        <w:p w:rsidR="009D06AF" w:rsidRPr="00F2400E" w:rsidRDefault="007A7331" w:rsidP="00A77D51">
          <w:pPr>
            <w:pStyle w:val="Sidfot"/>
            <w:rPr>
              <w:caps/>
              <w:sz w:val="9"/>
              <w:szCs w:val="9"/>
            </w:rPr>
          </w:pPr>
          <w:bookmarkStart w:id="9" w:name="LVisitAddr"/>
          <w:r>
            <w:rPr>
              <w:caps/>
              <w:sz w:val="9"/>
              <w:szCs w:val="9"/>
            </w:rPr>
            <w:t>Besöksadress</w:t>
          </w:r>
          <w:bookmarkEnd w:id="9"/>
        </w:p>
      </w:tc>
      <w:tc>
        <w:tcPr>
          <w:tcW w:w="1175" w:type="dxa"/>
          <w:tcBorders>
            <w:top w:val="single" w:sz="4" w:space="0" w:color="auto"/>
          </w:tcBorders>
        </w:tcPr>
        <w:p w:rsidR="009D06AF" w:rsidRPr="00F2400E" w:rsidRDefault="007A7331" w:rsidP="00A77D51">
          <w:pPr>
            <w:pStyle w:val="Sidfot"/>
            <w:rPr>
              <w:caps/>
              <w:sz w:val="9"/>
              <w:szCs w:val="9"/>
            </w:rPr>
          </w:pPr>
          <w:bookmarkStart w:id="10" w:name="LPhone"/>
          <w:r>
            <w:rPr>
              <w:caps/>
              <w:sz w:val="9"/>
              <w:szCs w:val="9"/>
            </w:rPr>
            <w:t>Telefon</w:t>
          </w:r>
          <w:bookmarkEnd w:id="10"/>
        </w:p>
      </w:tc>
      <w:tc>
        <w:tcPr>
          <w:tcW w:w="1148" w:type="dxa"/>
          <w:tcBorders>
            <w:top w:val="single" w:sz="4" w:space="0" w:color="auto"/>
          </w:tcBorders>
        </w:tcPr>
        <w:p w:rsidR="009D06AF" w:rsidRPr="00F2400E" w:rsidRDefault="007A7331" w:rsidP="00A77D51">
          <w:pPr>
            <w:pStyle w:val="Sidfot"/>
            <w:rPr>
              <w:caps/>
              <w:sz w:val="9"/>
              <w:szCs w:val="9"/>
            </w:rPr>
          </w:pPr>
          <w:bookmarkStart w:id="11" w:name="LEmail"/>
          <w:r>
            <w:rPr>
              <w:caps/>
              <w:sz w:val="9"/>
              <w:szCs w:val="9"/>
            </w:rPr>
            <w:t>E-post</w:t>
          </w:r>
          <w:bookmarkEnd w:id="11"/>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7A7331" w:rsidP="00A77D51">
          <w:pPr>
            <w:pStyle w:val="Sidfot"/>
            <w:rPr>
              <w:caps/>
              <w:sz w:val="9"/>
              <w:szCs w:val="9"/>
            </w:rPr>
          </w:pPr>
          <w:bookmarkStart w:id="12" w:name="LOrgNo"/>
          <w:r>
            <w:rPr>
              <w:caps/>
              <w:sz w:val="9"/>
              <w:szCs w:val="9"/>
            </w:rPr>
            <w:t>Org.nummer</w:t>
          </w:r>
          <w:bookmarkEnd w:id="12"/>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3" w:name="LCountryPrefix"/>
          <w:r w:rsidR="007A7331">
            <w:rPr>
              <w:szCs w:val="14"/>
            </w:rPr>
            <w:t>,</w:t>
          </w:r>
          <w:bookmarkEnd w:id="13"/>
          <w:r w:rsidR="00F100ED">
            <w:rPr>
              <w:szCs w:val="14"/>
            </w:rPr>
            <w:t xml:space="preserve"> </w:t>
          </w:r>
          <w:r w:rsidRPr="00A77D51">
            <w:rPr>
              <w:szCs w:val="14"/>
            </w:rPr>
            <w:t>131 81 Nacka</w:t>
          </w:r>
          <w:bookmarkStart w:id="14" w:name="Country"/>
          <w:bookmarkEnd w:id="14"/>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7A7331" w:rsidP="00092ADA">
          <w:pPr>
            <w:pStyle w:val="Sidfot"/>
            <w:spacing w:line="180" w:lineRule="exact"/>
            <w:rPr>
              <w:szCs w:val="14"/>
            </w:rPr>
          </w:pPr>
          <w:bookmarkStart w:id="15" w:name="PhoneMain"/>
          <w:r>
            <w:rPr>
              <w:szCs w:val="14"/>
            </w:rPr>
            <w:t>08-718 80 00</w:t>
          </w:r>
          <w:bookmarkEnd w:id="15"/>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7A7331" w:rsidP="00A77D51">
          <w:pPr>
            <w:pStyle w:val="Sidfot"/>
            <w:spacing w:line="180" w:lineRule="exact"/>
            <w:rPr>
              <w:szCs w:val="14"/>
            </w:rPr>
          </w:pPr>
          <w:bookmarkStart w:id="16" w:name="OrgNo"/>
          <w:proofErr w:type="gramStart"/>
          <w:r>
            <w:rPr>
              <w:szCs w:val="14"/>
            </w:rPr>
            <w:t>212000-0167</w:t>
          </w:r>
          <w:bookmarkEnd w:id="16"/>
          <w:proofErr w:type="gramEnd"/>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31" w:rsidRDefault="007A7331">
      <w:r>
        <w:separator/>
      </w:r>
    </w:p>
  </w:footnote>
  <w:footnote w:type="continuationSeparator" w:id="0">
    <w:p w:rsidR="007A7331" w:rsidRDefault="007A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9D06AF" w:rsidRDefault="007A7331" w:rsidP="009D06AF">
    <w:pPr>
      <w:pStyle w:val="Sidhuvud"/>
      <w:rPr>
        <w:sz w:val="18"/>
        <w:szCs w:val="18"/>
      </w:rPr>
    </w:pPr>
    <w:r w:rsidRPr="007A7331">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761D24" w:rsidRPr="009D06AF">
      <w:rPr>
        <w:sz w:val="18"/>
        <w:szCs w:val="18"/>
      </w:rPr>
      <w:fldChar w:fldCharType="begin"/>
    </w:r>
    <w:r w:rsidR="009D06AF" w:rsidRPr="009D06AF">
      <w:rPr>
        <w:sz w:val="18"/>
        <w:szCs w:val="18"/>
      </w:rPr>
      <w:instrText xml:space="preserve"> PAGE </w:instrText>
    </w:r>
    <w:r w:rsidR="00761D24" w:rsidRPr="009D06AF">
      <w:rPr>
        <w:sz w:val="18"/>
        <w:szCs w:val="18"/>
      </w:rPr>
      <w:fldChar w:fldCharType="separate"/>
    </w:r>
    <w:r w:rsidR="0089547D">
      <w:rPr>
        <w:noProof/>
        <w:sz w:val="18"/>
        <w:szCs w:val="18"/>
      </w:rPr>
      <w:t>2</w:t>
    </w:r>
    <w:r w:rsidR="00761D24" w:rsidRPr="009D06AF">
      <w:rPr>
        <w:sz w:val="18"/>
        <w:szCs w:val="18"/>
      </w:rPr>
      <w:fldChar w:fldCharType="end"/>
    </w:r>
    <w:r w:rsidR="009D06AF" w:rsidRPr="009D06AF">
      <w:rPr>
        <w:sz w:val="18"/>
        <w:szCs w:val="18"/>
      </w:rPr>
      <w:t xml:space="preserve"> (</w:t>
    </w:r>
    <w:r w:rsidR="00761D24" w:rsidRPr="009D06AF">
      <w:rPr>
        <w:sz w:val="18"/>
        <w:szCs w:val="18"/>
      </w:rPr>
      <w:fldChar w:fldCharType="begin"/>
    </w:r>
    <w:r w:rsidR="009D06AF" w:rsidRPr="009D06AF">
      <w:rPr>
        <w:sz w:val="18"/>
        <w:szCs w:val="18"/>
      </w:rPr>
      <w:instrText xml:space="preserve"> NUMPAGES </w:instrText>
    </w:r>
    <w:r w:rsidR="00761D24" w:rsidRPr="009D06AF">
      <w:rPr>
        <w:sz w:val="18"/>
        <w:szCs w:val="18"/>
      </w:rPr>
      <w:fldChar w:fldCharType="separate"/>
    </w:r>
    <w:r w:rsidR="0089547D">
      <w:rPr>
        <w:noProof/>
        <w:sz w:val="18"/>
        <w:szCs w:val="18"/>
      </w:rPr>
      <w:t>2</w:t>
    </w:r>
    <w:r w:rsidR="00761D24"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3F70FC" w:rsidRDefault="007A7331" w:rsidP="00804A71">
    <w:pPr>
      <w:pStyle w:val="Sidhuvud"/>
      <w:rPr>
        <w:sz w:val="18"/>
        <w:szCs w:val="18"/>
      </w:rPr>
    </w:pPr>
    <w:r w:rsidRPr="007A7331">
      <w:rPr>
        <w:noProof/>
        <w:sz w:val="18"/>
        <w:szCs w:val="18"/>
      </w:rPr>
      <w:drawing>
        <wp:anchor distT="0" distB="0" distL="114300" distR="114300" simplePos="0" relativeHeight="251657728"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761D24" w:rsidRPr="003F70FC">
      <w:rPr>
        <w:sz w:val="18"/>
        <w:szCs w:val="18"/>
      </w:rPr>
      <w:fldChar w:fldCharType="begin"/>
    </w:r>
    <w:r w:rsidR="009D06AF" w:rsidRPr="003F70FC">
      <w:rPr>
        <w:sz w:val="18"/>
        <w:szCs w:val="18"/>
      </w:rPr>
      <w:instrText xml:space="preserve"> PAGE </w:instrText>
    </w:r>
    <w:r w:rsidR="00761D24" w:rsidRPr="003F70FC">
      <w:rPr>
        <w:sz w:val="18"/>
        <w:szCs w:val="18"/>
      </w:rPr>
      <w:fldChar w:fldCharType="separate"/>
    </w:r>
    <w:r w:rsidR="0089547D">
      <w:rPr>
        <w:noProof/>
        <w:sz w:val="18"/>
        <w:szCs w:val="18"/>
      </w:rPr>
      <w:t>1</w:t>
    </w:r>
    <w:r w:rsidR="00761D24" w:rsidRPr="003F70FC">
      <w:rPr>
        <w:sz w:val="18"/>
        <w:szCs w:val="18"/>
      </w:rPr>
      <w:fldChar w:fldCharType="end"/>
    </w:r>
    <w:r w:rsidR="009D06AF" w:rsidRPr="003F70FC">
      <w:rPr>
        <w:sz w:val="18"/>
        <w:szCs w:val="18"/>
      </w:rPr>
      <w:t xml:space="preserve"> (</w:t>
    </w:r>
    <w:r w:rsidR="00761D24" w:rsidRPr="003F70FC">
      <w:rPr>
        <w:sz w:val="18"/>
        <w:szCs w:val="18"/>
      </w:rPr>
      <w:fldChar w:fldCharType="begin"/>
    </w:r>
    <w:r w:rsidR="009D06AF" w:rsidRPr="003F70FC">
      <w:rPr>
        <w:sz w:val="18"/>
        <w:szCs w:val="18"/>
      </w:rPr>
      <w:instrText xml:space="preserve"> NUMPAGES </w:instrText>
    </w:r>
    <w:r w:rsidR="00761D24" w:rsidRPr="003F70FC">
      <w:rPr>
        <w:sz w:val="18"/>
        <w:szCs w:val="18"/>
      </w:rPr>
      <w:fldChar w:fldCharType="separate"/>
    </w:r>
    <w:r w:rsidR="0089547D">
      <w:rPr>
        <w:noProof/>
        <w:sz w:val="18"/>
        <w:szCs w:val="18"/>
      </w:rPr>
      <w:t>2</w:t>
    </w:r>
    <w:r w:rsidR="00761D24"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5" w:name="Date"/>
    <w:r w:rsidR="007A7331">
      <w:rPr>
        <w:rFonts w:ascii="Garamond" w:hAnsi="Garamond"/>
      </w:rPr>
      <w:t>2013-12-03</w:t>
    </w:r>
    <w:bookmarkEnd w:id="5"/>
  </w:p>
  <w:p w:rsidR="006C734D" w:rsidRDefault="006C734D" w:rsidP="003F70FC">
    <w:pPr>
      <w:pStyle w:val="Sidhuvud"/>
      <w:tabs>
        <w:tab w:val="clear" w:pos="4706"/>
        <w:tab w:val="left" w:pos="5670"/>
      </w:tabs>
      <w:rPr>
        <w:rFonts w:ascii="Garamond" w:hAnsi="Garamond"/>
      </w:rPr>
    </w:pPr>
    <w:r>
      <w:rPr>
        <w:rFonts w:ascii="Garamond" w:hAnsi="Garamond"/>
      </w:rPr>
      <w:tab/>
      <w:t>2015-10-20 uppdaterad</w:t>
    </w:r>
  </w:p>
  <w:p w:rsidR="00565FFB" w:rsidRDefault="00565FFB" w:rsidP="003F70FC">
    <w:pPr>
      <w:pStyle w:val="Sidhuvud"/>
      <w:tabs>
        <w:tab w:val="clear" w:pos="4706"/>
        <w:tab w:val="left" w:pos="5670"/>
      </w:tabs>
      <w:rPr>
        <w:rFonts w:ascii="Garamond" w:hAnsi="Garamond"/>
      </w:rPr>
    </w:pPr>
    <w:r>
      <w:rPr>
        <w:rFonts w:ascii="Garamond" w:hAnsi="Garamond"/>
      </w:rPr>
      <w:tab/>
      <w:t>2017-09-06 uppdaterad</w:t>
    </w:r>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6" w:name="Dn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BC6"/>
    <w:multiLevelType w:val="hybridMultilevel"/>
    <w:tmpl w:val="F39ADD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43F62F5"/>
    <w:multiLevelType w:val="hybridMultilevel"/>
    <w:tmpl w:val="8E62C6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3537CC3"/>
    <w:multiLevelType w:val="hybridMultilevel"/>
    <w:tmpl w:val="4AD66B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Black"/>
  </w:docVars>
  <w:rsids>
    <w:rsidRoot w:val="00D40E2D"/>
    <w:rsid w:val="00027B2E"/>
    <w:rsid w:val="00027F18"/>
    <w:rsid w:val="00043BED"/>
    <w:rsid w:val="0004610D"/>
    <w:rsid w:val="000469BC"/>
    <w:rsid w:val="0004791E"/>
    <w:rsid w:val="000571C4"/>
    <w:rsid w:val="000616A9"/>
    <w:rsid w:val="00070207"/>
    <w:rsid w:val="000731B8"/>
    <w:rsid w:val="00084F7A"/>
    <w:rsid w:val="00086069"/>
    <w:rsid w:val="00092ADA"/>
    <w:rsid w:val="000A03C5"/>
    <w:rsid w:val="000A11ED"/>
    <w:rsid w:val="000B0F93"/>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00CC"/>
    <w:rsid w:val="002B226B"/>
    <w:rsid w:val="002B57D3"/>
    <w:rsid w:val="002C1483"/>
    <w:rsid w:val="002C2B5A"/>
    <w:rsid w:val="002C6F31"/>
    <w:rsid w:val="002D4E73"/>
    <w:rsid w:val="002F2DA7"/>
    <w:rsid w:val="0030048F"/>
    <w:rsid w:val="00311E0B"/>
    <w:rsid w:val="00322FA1"/>
    <w:rsid w:val="003372B9"/>
    <w:rsid w:val="0035461D"/>
    <w:rsid w:val="00372C51"/>
    <w:rsid w:val="00383F5F"/>
    <w:rsid w:val="00387EE9"/>
    <w:rsid w:val="00394805"/>
    <w:rsid w:val="00397B89"/>
    <w:rsid w:val="003B7ECC"/>
    <w:rsid w:val="003C78B9"/>
    <w:rsid w:val="003F4EF1"/>
    <w:rsid w:val="003F70FC"/>
    <w:rsid w:val="003F7287"/>
    <w:rsid w:val="003F7518"/>
    <w:rsid w:val="00407E0B"/>
    <w:rsid w:val="00453A5D"/>
    <w:rsid w:val="00461524"/>
    <w:rsid w:val="00481A9B"/>
    <w:rsid w:val="00484738"/>
    <w:rsid w:val="0049421A"/>
    <w:rsid w:val="004A2519"/>
    <w:rsid w:val="004B6BD5"/>
    <w:rsid w:val="004B7319"/>
    <w:rsid w:val="004C4DAF"/>
    <w:rsid w:val="004D1FEA"/>
    <w:rsid w:val="004D3061"/>
    <w:rsid w:val="004F1766"/>
    <w:rsid w:val="004F4DBE"/>
    <w:rsid w:val="00505FF7"/>
    <w:rsid w:val="00523D53"/>
    <w:rsid w:val="00530101"/>
    <w:rsid w:val="00533385"/>
    <w:rsid w:val="005434AA"/>
    <w:rsid w:val="00545BCD"/>
    <w:rsid w:val="00550887"/>
    <w:rsid w:val="00555E52"/>
    <w:rsid w:val="00565FFB"/>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C734D"/>
    <w:rsid w:val="006D6DF7"/>
    <w:rsid w:val="006E1866"/>
    <w:rsid w:val="006F0FC7"/>
    <w:rsid w:val="007122C6"/>
    <w:rsid w:val="00731473"/>
    <w:rsid w:val="00735961"/>
    <w:rsid w:val="00750AAF"/>
    <w:rsid w:val="007512D3"/>
    <w:rsid w:val="00761238"/>
    <w:rsid w:val="00761D24"/>
    <w:rsid w:val="00772CE1"/>
    <w:rsid w:val="007736BC"/>
    <w:rsid w:val="00790567"/>
    <w:rsid w:val="007A33E8"/>
    <w:rsid w:val="007A3CBB"/>
    <w:rsid w:val="007A7331"/>
    <w:rsid w:val="007B7A64"/>
    <w:rsid w:val="007C6DAD"/>
    <w:rsid w:val="00804A71"/>
    <w:rsid w:val="00805572"/>
    <w:rsid w:val="00820BB2"/>
    <w:rsid w:val="00826889"/>
    <w:rsid w:val="008278C0"/>
    <w:rsid w:val="0083566B"/>
    <w:rsid w:val="00835756"/>
    <w:rsid w:val="00835A74"/>
    <w:rsid w:val="00843F47"/>
    <w:rsid w:val="00865D8C"/>
    <w:rsid w:val="00884A53"/>
    <w:rsid w:val="00893AE4"/>
    <w:rsid w:val="00893CBB"/>
    <w:rsid w:val="0089547D"/>
    <w:rsid w:val="008C10C1"/>
    <w:rsid w:val="008D0D8C"/>
    <w:rsid w:val="008D352A"/>
    <w:rsid w:val="008D79D6"/>
    <w:rsid w:val="00904704"/>
    <w:rsid w:val="00924F41"/>
    <w:rsid w:val="00933DF8"/>
    <w:rsid w:val="00934EF0"/>
    <w:rsid w:val="00936C2B"/>
    <w:rsid w:val="00944F2C"/>
    <w:rsid w:val="00945809"/>
    <w:rsid w:val="00955C20"/>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0E2D"/>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B3616"/>
    <w:rsid w:val="00EC48EC"/>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86B89"/>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9C1A46B0-9460-4858-8E28-ECA2554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Liststycke">
    <w:name w:val="List Paragraph"/>
    <w:basedOn w:val="Normal"/>
    <w:uiPriority w:val="34"/>
    <w:rsid w:val="007A7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0465-0CB7-4DB3-9CD9-E4D36497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0</TotalTime>
  <Pages>2</Pages>
  <Words>498</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acoe</dc:creator>
  <cp:lastModifiedBy>Oetterli Ann-Charlotte</cp:lastModifiedBy>
  <cp:revision>2</cp:revision>
  <cp:lastPrinted>2011-01-21T09:33:00Z</cp:lastPrinted>
  <dcterms:created xsi:type="dcterms:W3CDTF">2017-09-12T11:44:00Z</dcterms:created>
  <dcterms:modified xsi:type="dcterms:W3CDTF">2017-09-12T11:44:00Z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